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F" w:rsidRPr="00B944DA" w:rsidRDefault="009319DF" w:rsidP="009319DF">
      <w:pPr>
        <w:pStyle w:val="Encabezado"/>
        <w:jc w:val="right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sz w:val="20"/>
        </w:rPr>
        <w:t>2.3- 90</w:t>
      </w:r>
    </w:p>
    <w:p w:rsidR="009319DF" w:rsidRPr="00B944DA" w:rsidRDefault="009319DF" w:rsidP="009319DF">
      <w:pPr>
        <w:pStyle w:val="Textoindependiente"/>
        <w:jc w:val="center"/>
        <w:rPr>
          <w:rFonts w:ascii="Tahoma" w:hAnsi="Tahoma" w:cs="Tahoma"/>
          <w:b/>
          <w:bCs/>
          <w:sz w:val="20"/>
        </w:rPr>
      </w:pPr>
    </w:p>
    <w:p w:rsidR="009319DF" w:rsidRPr="00B944DA" w:rsidRDefault="009319DF" w:rsidP="009319DF">
      <w:pPr>
        <w:pStyle w:val="Textoindependiente"/>
        <w:jc w:val="center"/>
        <w:rPr>
          <w:rFonts w:ascii="Tahoma" w:hAnsi="Tahoma" w:cs="Tahoma"/>
          <w:b/>
          <w:bCs/>
          <w:sz w:val="20"/>
        </w:rPr>
      </w:pPr>
      <w:r w:rsidRPr="00B944DA">
        <w:rPr>
          <w:rFonts w:ascii="Tahoma" w:hAnsi="Tahoma" w:cs="Tahoma"/>
          <w:b/>
          <w:bCs/>
          <w:sz w:val="20"/>
        </w:rPr>
        <w:t xml:space="preserve">RESOLUCIÓN  R-N° </w:t>
      </w:r>
      <w:r>
        <w:rPr>
          <w:rFonts w:ascii="Tahoma" w:hAnsi="Tahoma" w:cs="Tahoma"/>
          <w:b/>
          <w:bCs/>
          <w:sz w:val="20"/>
        </w:rPr>
        <w:t>8</w:t>
      </w:r>
      <w:r w:rsidR="008342FF">
        <w:rPr>
          <w:rFonts w:ascii="Tahoma" w:hAnsi="Tahoma" w:cs="Tahoma"/>
          <w:b/>
          <w:bCs/>
          <w:sz w:val="20"/>
        </w:rPr>
        <w:t>79</w:t>
      </w:r>
    </w:p>
    <w:p w:rsidR="009319DF" w:rsidRPr="00B944DA" w:rsidRDefault="009319DF" w:rsidP="009319DF">
      <w:pPr>
        <w:pStyle w:val="Textoindependiente"/>
        <w:jc w:val="center"/>
        <w:rPr>
          <w:rFonts w:ascii="Tahoma" w:hAnsi="Tahoma" w:cs="Tahoma"/>
          <w:b/>
          <w:bCs/>
          <w:sz w:val="20"/>
        </w:rPr>
      </w:pPr>
      <w:r w:rsidRPr="00B944DA">
        <w:rPr>
          <w:rFonts w:ascii="Tahoma" w:hAnsi="Tahoma" w:cs="Tahoma"/>
          <w:b/>
          <w:bCs/>
          <w:sz w:val="20"/>
        </w:rPr>
        <w:t xml:space="preserve">(NOVIEMBRE </w:t>
      </w:r>
      <w:r w:rsidR="008342FF">
        <w:rPr>
          <w:rFonts w:ascii="Tahoma" w:hAnsi="Tahoma" w:cs="Tahoma"/>
          <w:b/>
          <w:bCs/>
          <w:sz w:val="20"/>
        </w:rPr>
        <w:t>23</w:t>
      </w:r>
      <w:r w:rsidRPr="00B944DA">
        <w:rPr>
          <w:rFonts w:ascii="Tahoma" w:hAnsi="Tahoma" w:cs="Tahoma"/>
          <w:b/>
          <w:bCs/>
          <w:sz w:val="20"/>
        </w:rPr>
        <w:t xml:space="preserve"> DE 2010)</w:t>
      </w:r>
    </w:p>
    <w:p w:rsidR="009319DF" w:rsidRDefault="009319DF" w:rsidP="009319DF">
      <w:pPr>
        <w:pStyle w:val="Textoindependiente"/>
        <w:tabs>
          <w:tab w:val="left" w:pos="851"/>
        </w:tabs>
        <w:rPr>
          <w:rFonts w:ascii="Tahoma" w:hAnsi="Tahoma" w:cs="Tahoma"/>
          <w:sz w:val="20"/>
        </w:rPr>
      </w:pPr>
    </w:p>
    <w:p w:rsidR="006D2D40" w:rsidRPr="00B944DA" w:rsidRDefault="006D2D40" w:rsidP="009319DF">
      <w:pPr>
        <w:pStyle w:val="Textoindependiente"/>
        <w:tabs>
          <w:tab w:val="left" w:pos="851"/>
        </w:tabs>
        <w:rPr>
          <w:rFonts w:ascii="Tahoma" w:hAnsi="Tahoma" w:cs="Tahoma"/>
          <w:sz w:val="20"/>
        </w:rPr>
      </w:pPr>
    </w:p>
    <w:p w:rsidR="009319DF" w:rsidRPr="00B944DA" w:rsidRDefault="009319DF" w:rsidP="009319DF">
      <w:pPr>
        <w:pStyle w:val="Textoindependiente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sz w:val="20"/>
        </w:rPr>
        <w:t xml:space="preserve">Por medio de la cual se apertura un proceso contractual. </w:t>
      </w:r>
    </w:p>
    <w:p w:rsidR="009319DF" w:rsidRDefault="009319DF" w:rsidP="009319D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</w:p>
    <w:p w:rsidR="006D2D40" w:rsidRPr="00B944DA" w:rsidRDefault="006D2D40" w:rsidP="009319D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</w:rPr>
      </w:pPr>
    </w:p>
    <w:p w:rsidR="009319DF" w:rsidRPr="00B944DA" w:rsidRDefault="009319DF" w:rsidP="009319D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b/>
          <w:sz w:val="20"/>
        </w:rPr>
        <w:t xml:space="preserve">El </w:t>
      </w:r>
      <w:r w:rsidR="008342FF">
        <w:rPr>
          <w:rFonts w:ascii="Tahoma" w:hAnsi="Tahoma" w:cs="Tahoma"/>
          <w:b/>
          <w:sz w:val="20"/>
        </w:rPr>
        <w:t>VICERRECTOR ACADEMICO CON FUNCIONES RECT</w:t>
      </w:r>
      <w:r w:rsidRPr="00B944DA">
        <w:rPr>
          <w:rFonts w:ascii="Tahoma" w:hAnsi="Tahoma" w:cs="Tahoma"/>
          <w:b/>
          <w:sz w:val="20"/>
        </w:rPr>
        <w:t>OR</w:t>
      </w:r>
      <w:r w:rsidR="008342FF">
        <w:rPr>
          <w:rFonts w:ascii="Tahoma" w:hAnsi="Tahoma" w:cs="Tahoma"/>
          <w:b/>
          <w:sz w:val="20"/>
        </w:rPr>
        <w:t>ALES</w:t>
      </w:r>
      <w:r w:rsidR="00FC13FB">
        <w:rPr>
          <w:rFonts w:ascii="Tahoma" w:hAnsi="Tahoma" w:cs="Tahoma"/>
          <w:b/>
          <w:sz w:val="20"/>
        </w:rPr>
        <w:t xml:space="preserve"> </w:t>
      </w:r>
      <w:r w:rsidRPr="00B944DA">
        <w:rPr>
          <w:rFonts w:ascii="Tahoma" w:hAnsi="Tahoma" w:cs="Tahoma"/>
          <w:b/>
          <w:sz w:val="20"/>
        </w:rPr>
        <w:t>DE LA UNIVERSIDAD DEL CAUCA</w:t>
      </w:r>
      <w:r w:rsidRPr="00B944DA">
        <w:rPr>
          <w:rFonts w:ascii="Tahoma" w:hAnsi="Tahoma" w:cs="Tahoma"/>
          <w:sz w:val="20"/>
        </w:rPr>
        <w:t xml:space="preserve">, en uso de las atribuciones legales consagradas en los artículos 69 y 209 de la Constitución Política de Colombia, la Ley 30 de 1992,  los Acuerdos 0105 de 1993, 064 de 2008, y </w:t>
      </w:r>
    </w:p>
    <w:p w:rsidR="009319DF" w:rsidRDefault="009319DF" w:rsidP="009319DF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</w:rPr>
      </w:pPr>
    </w:p>
    <w:p w:rsidR="006D2D40" w:rsidRPr="00B944DA" w:rsidRDefault="006D2D40" w:rsidP="009319DF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</w:rPr>
      </w:pPr>
    </w:p>
    <w:p w:rsidR="009319DF" w:rsidRPr="00B944DA" w:rsidRDefault="009319DF" w:rsidP="009319DF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lang w:val="es-MX"/>
        </w:rPr>
      </w:pPr>
      <w:r w:rsidRPr="00B944DA">
        <w:rPr>
          <w:rFonts w:ascii="Tahoma" w:hAnsi="Tahoma" w:cs="Tahoma"/>
          <w:b/>
          <w:bCs/>
          <w:sz w:val="20"/>
          <w:lang w:val="es-MX"/>
        </w:rPr>
        <w:t>CONSIDERANDO:</w:t>
      </w:r>
    </w:p>
    <w:p w:rsidR="009319DF" w:rsidRPr="00B944DA" w:rsidRDefault="009319DF" w:rsidP="009319DF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lang w:val="es-MX"/>
        </w:rPr>
      </w:pPr>
    </w:p>
    <w:p w:rsidR="009319DF" w:rsidRDefault="009319DF" w:rsidP="009319DF">
      <w:pPr>
        <w:pStyle w:val="Prrafodelista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sz w:val="20"/>
        </w:rPr>
        <w:t xml:space="preserve">La Universidad del Cauca, es un ente autónomo </w:t>
      </w:r>
      <w:r w:rsidRPr="00B944DA">
        <w:rPr>
          <w:rFonts w:ascii="Tahoma" w:hAnsi="Tahoma" w:cs="Tahoma"/>
          <w:vanish/>
          <w:sz w:val="20"/>
        </w:rPr>
        <w:t>universitario</w:t>
      </w:r>
      <w:r w:rsidRPr="00B944DA">
        <w:rPr>
          <w:rFonts w:ascii="Tahoma" w:hAnsi="Tahoma" w:cs="Tahoma"/>
          <w:sz w:val="20"/>
        </w:rPr>
        <w:t xml:space="preserve">, conforme el artículo 69 de la Constitución Política, la cual se rige por las normas contenidas en el </w:t>
      </w:r>
      <w:proofErr w:type="spellStart"/>
      <w:r w:rsidRPr="00B944DA">
        <w:rPr>
          <w:rFonts w:ascii="Tahoma" w:hAnsi="Tahoma" w:cs="Tahoma"/>
          <w:sz w:val="20"/>
        </w:rPr>
        <w:t>capitulo</w:t>
      </w:r>
      <w:proofErr w:type="spellEnd"/>
      <w:r w:rsidRPr="00B944DA">
        <w:rPr>
          <w:rFonts w:ascii="Tahoma" w:hAnsi="Tahoma" w:cs="Tahoma"/>
          <w:sz w:val="20"/>
        </w:rPr>
        <w:t xml:space="preserve"> VI de </w:t>
      </w:r>
      <w:smartTag w:uri="urn:schemas-microsoft-com:office:smarttags" w:element="PersonName">
        <w:smartTagPr>
          <w:attr w:name="ProductID" w:val="la Ley"/>
        </w:smartTagPr>
        <w:r w:rsidRPr="00B944DA">
          <w:rPr>
            <w:rFonts w:ascii="Tahoma" w:hAnsi="Tahoma" w:cs="Tahoma"/>
            <w:sz w:val="20"/>
          </w:rPr>
          <w:t>la Ley</w:t>
        </w:r>
      </w:smartTag>
      <w:r w:rsidRPr="00B944DA">
        <w:rPr>
          <w:rFonts w:ascii="Tahoma" w:hAnsi="Tahoma" w:cs="Tahoma"/>
          <w:sz w:val="20"/>
        </w:rPr>
        <w:t xml:space="preserve"> 30 de 1992, o Ley de </w:t>
      </w:r>
      <w:smartTag w:uri="urn:schemas-microsoft-com:office:smarttags" w:element="PersonName">
        <w:smartTagPr>
          <w:attr w:name="ProductID" w:val="la Educaci￳n"/>
        </w:smartTagPr>
        <w:r w:rsidRPr="00B944DA">
          <w:rPr>
            <w:rFonts w:ascii="Tahoma" w:hAnsi="Tahoma" w:cs="Tahoma"/>
            <w:sz w:val="20"/>
          </w:rPr>
          <w:t>la Educación</w:t>
        </w:r>
      </w:smartTag>
      <w:r w:rsidRPr="00B944DA">
        <w:rPr>
          <w:rFonts w:ascii="Tahoma" w:hAnsi="Tahoma" w:cs="Tahoma"/>
          <w:sz w:val="20"/>
        </w:rPr>
        <w:t xml:space="preserve"> superior y por el Acuerdo 064 de 2008, contentivo del Estatuto de Contratación Institucional.</w:t>
      </w:r>
    </w:p>
    <w:p w:rsidR="006D2D40" w:rsidRPr="00B944DA" w:rsidRDefault="006D2D40" w:rsidP="006D2D40">
      <w:pPr>
        <w:pStyle w:val="Prrafodelista"/>
        <w:tabs>
          <w:tab w:val="num" w:pos="426"/>
        </w:tabs>
        <w:ind w:left="426"/>
        <w:jc w:val="both"/>
        <w:rPr>
          <w:rFonts w:ascii="Tahoma" w:hAnsi="Tahoma" w:cs="Tahoma"/>
          <w:sz w:val="20"/>
        </w:rPr>
      </w:pPr>
    </w:p>
    <w:p w:rsidR="009319DF" w:rsidRPr="00B944DA" w:rsidRDefault="009319DF" w:rsidP="009319DF">
      <w:pPr>
        <w:pStyle w:val="Prrafodelista"/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sz w:val="20"/>
        </w:rPr>
        <w:t>De conformidad con  lo establecido en la Ley 70  de Diciembre de 1988, y la Convención Colectiva de Trabajadores de la Universidad,  relacionada con el derecho que tienen los empleados públicos sobre el suministro de calzado y vestidos de labor,  cada cuatro meses en el año, la Institución da cumplimiento a este propósito mediante la adquisición de zapatos clásicos y sport para dama, a través de  convocatoria pública. LA UNIVERSIDAD DEL CAUCA</w:t>
      </w:r>
      <w:r>
        <w:rPr>
          <w:rFonts w:ascii="Tahoma" w:hAnsi="Tahoma" w:cs="Tahoma"/>
          <w:sz w:val="20"/>
        </w:rPr>
        <w:t>, requiere</w:t>
      </w:r>
      <w:r w:rsidRPr="00B944DA">
        <w:rPr>
          <w:rFonts w:ascii="Tahoma" w:hAnsi="Tahoma" w:cs="Tahoma"/>
          <w:sz w:val="20"/>
        </w:rPr>
        <w:t xml:space="preserve"> adquirir QUINIENTOS VEINTIDÓS (522) PARES DE ZAPATOS CLASICOS Y SPORT PARA DAMA, Y OCHENTA Y NUEVE (89) PARES DE ZAPATOS PARA PERSONAL DE LABOR.</w:t>
      </w:r>
    </w:p>
    <w:p w:rsidR="009319DF" w:rsidRPr="00B944DA" w:rsidRDefault="009319DF" w:rsidP="009319DF">
      <w:pPr>
        <w:pStyle w:val="Textoindependiente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</w:p>
    <w:p w:rsidR="009319DF" w:rsidRPr="00B944DA" w:rsidRDefault="009319DF" w:rsidP="009319DF">
      <w:pPr>
        <w:pStyle w:val="Textoindependiente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sz w:val="20"/>
        </w:rPr>
        <w:t>Existe certificación de Disponibilidad Presupuestal  No. 201003180 del 31 de agosto de 2010, ajusta</w:t>
      </w:r>
      <w:r w:rsidR="00D93086">
        <w:rPr>
          <w:rFonts w:ascii="Tahoma" w:hAnsi="Tahoma" w:cs="Tahoma"/>
          <w:sz w:val="20"/>
        </w:rPr>
        <w:t>do con base en el Documento de Aj</w:t>
      </w:r>
      <w:r w:rsidRPr="00B944DA">
        <w:rPr>
          <w:rFonts w:ascii="Tahoma" w:hAnsi="Tahoma" w:cs="Tahoma"/>
          <w:sz w:val="20"/>
        </w:rPr>
        <w:t xml:space="preserve">uste de Presupuesto No. 201000462 del 02 de septiembre de 2010 y el Documento de Juste de Presupuesto No. 201000530 del 01 de Octubre de 2010 emanados de </w:t>
      </w:r>
      <w:smartTag w:uri="urn:schemas-microsoft-com:office:smarttags" w:element="PersonName">
        <w:smartTagPr>
          <w:attr w:name="ProductID" w:val="la Divisi￳n Financiera."/>
        </w:smartTagPr>
        <w:smartTag w:uri="urn:schemas-microsoft-com:office:smarttags" w:element="PersonName">
          <w:smartTagPr>
            <w:attr w:name="ProductID" w:val="sente￳nİЈseĭЈ佴ミ쩰訴࣮ሐࣜĨЈඬ㘠&#10;ߨ࣬ģЈᇬࣜグ࣭懰ඵŞЈ࣬逰ඣ "/>
          </w:smartTagPr>
          <w:r w:rsidRPr="00B944DA">
            <w:rPr>
              <w:rFonts w:ascii="Tahoma" w:hAnsi="Tahoma" w:cs="Tahoma"/>
              <w:sz w:val="20"/>
            </w:rPr>
            <w:t>la División</w:t>
          </w:r>
        </w:smartTag>
        <w:r w:rsidRPr="00B944DA">
          <w:rPr>
            <w:rFonts w:ascii="Tahoma" w:hAnsi="Tahoma" w:cs="Tahoma"/>
            <w:sz w:val="20"/>
          </w:rPr>
          <w:t xml:space="preserve"> Financiera.</w:t>
        </w:r>
      </w:smartTag>
    </w:p>
    <w:p w:rsidR="009319DF" w:rsidRPr="00B944DA" w:rsidRDefault="009319DF" w:rsidP="009319DF">
      <w:pPr>
        <w:pStyle w:val="BodyText21"/>
        <w:tabs>
          <w:tab w:val="num" w:pos="360"/>
        </w:tabs>
        <w:ind w:left="360" w:hanging="360"/>
        <w:rPr>
          <w:rFonts w:ascii="Tahoma" w:hAnsi="Tahoma" w:cs="Tahoma"/>
          <w:sz w:val="20"/>
          <w:lang w:val="es-ES"/>
        </w:rPr>
      </w:pPr>
    </w:p>
    <w:p w:rsidR="009319DF" w:rsidRPr="00B944DA" w:rsidRDefault="009319DF" w:rsidP="009319DF">
      <w:pPr>
        <w:pStyle w:val="Textoindependiente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napToGrid w:val="0"/>
          <w:sz w:val="20"/>
        </w:rPr>
      </w:pPr>
      <w:r w:rsidRPr="00B944DA">
        <w:rPr>
          <w:rFonts w:ascii="Tahoma" w:hAnsi="Tahoma" w:cs="Tahoma"/>
          <w:sz w:val="20"/>
        </w:rPr>
        <w:t>E</w:t>
      </w:r>
      <w:r w:rsidRPr="00B944DA">
        <w:rPr>
          <w:rFonts w:ascii="Tahoma" w:hAnsi="Tahoma" w:cs="Tahoma"/>
          <w:snapToGrid w:val="0"/>
          <w:sz w:val="20"/>
        </w:rPr>
        <w:t xml:space="preserve">n cumplimiento del artículo 209 de </w:t>
      </w:r>
      <w:smartTag w:uri="urn:schemas-microsoft-com:office:smarttags" w:element="PersonName">
        <w:smartTagPr>
          <w:attr w:name="ProductID" w:val="la Constituci￳n Pol￭tica"/>
        </w:smartTagPr>
        <w:r w:rsidRPr="00B944DA">
          <w:rPr>
            <w:rFonts w:ascii="Tahoma" w:hAnsi="Tahoma" w:cs="Tahoma"/>
            <w:snapToGrid w:val="0"/>
            <w:sz w:val="20"/>
          </w:rPr>
          <w:t>la Constitución Política</w:t>
        </w:r>
      </w:smartTag>
      <w:r w:rsidRPr="00B944DA">
        <w:rPr>
          <w:rFonts w:ascii="Tahoma" w:hAnsi="Tahoma" w:cs="Tahoma"/>
          <w:snapToGrid w:val="0"/>
          <w:sz w:val="20"/>
        </w:rPr>
        <w:t xml:space="preserve"> de Colombia y el artículo 6 del  Acuerdo 064 de 2008, debe darse publicidad a los procesos contractuales.</w:t>
      </w:r>
    </w:p>
    <w:p w:rsidR="009319DF" w:rsidRDefault="009319DF" w:rsidP="009319DF">
      <w:pPr>
        <w:pStyle w:val="Textoindependiente2"/>
        <w:spacing w:after="0" w:line="240" w:lineRule="auto"/>
        <w:rPr>
          <w:rFonts w:ascii="Tahoma" w:hAnsi="Tahoma" w:cs="Tahoma"/>
          <w:snapToGrid w:val="0"/>
          <w:sz w:val="20"/>
        </w:rPr>
      </w:pPr>
    </w:p>
    <w:p w:rsidR="006D2D40" w:rsidRPr="00B944DA" w:rsidRDefault="006D2D40" w:rsidP="009319DF">
      <w:pPr>
        <w:pStyle w:val="Textoindependiente2"/>
        <w:spacing w:after="0" w:line="240" w:lineRule="auto"/>
        <w:rPr>
          <w:rFonts w:ascii="Tahoma" w:hAnsi="Tahoma" w:cs="Tahoma"/>
          <w:snapToGrid w:val="0"/>
          <w:sz w:val="20"/>
        </w:rPr>
      </w:pPr>
    </w:p>
    <w:p w:rsidR="009319DF" w:rsidRPr="00B944DA" w:rsidRDefault="009319DF" w:rsidP="009319DF">
      <w:pPr>
        <w:pStyle w:val="Textoindependiente2"/>
        <w:spacing w:after="0" w:line="240" w:lineRule="auto"/>
        <w:rPr>
          <w:rFonts w:ascii="Tahoma" w:hAnsi="Tahoma" w:cs="Tahoma"/>
          <w:snapToGrid w:val="0"/>
          <w:sz w:val="20"/>
        </w:rPr>
      </w:pPr>
      <w:r w:rsidRPr="00B944DA">
        <w:rPr>
          <w:rFonts w:ascii="Tahoma" w:hAnsi="Tahoma" w:cs="Tahoma"/>
          <w:snapToGrid w:val="0"/>
          <w:sz w:val="20"/>
        </w:rPr>
        <w:t>En consecuencia,</w:t>
      </w:r>
    </w:p>
    <w:p w:rsidR="009319DF" w:rsidRPr="00B944DA" w:rsidRDefault="009319DF" w:rsidP="009319DF">
      <w:pPr>
        <w:pStyle w:val="Textoindependiente2"/>
        <w:spacing w:after="0" w:line="240" w:lineRule="auto"/>
        <w:jc w:val="center"/>
        <w:rPr>
          <w:rFonts w:ascii="Tahoma" w:hAnsi="Tahoma" w:cs="Tahoma"/>
          <w:b/>
          <w:snapToGrid w:val="0"/>
          <w:sz w:val="20"/>
        </w:rPr>
      </w:pPr>
    </w:p>
    <w:p w:rsidR="009319DF" w:rsidRPr="00B944DA" w:rsidRDefault="009319DF" w:rsidP="009319DF">
      <w:pPr>
        <w:pStyle w:val="Textoindependiente2"/>
        <w:spacing w:after="0" w:line="240" w:lineRule="auto"/>
        <w:jc w:val="center"/>
        <w:rPr>
          <w:rFonts w:ascii="Tahoma" w:hAnsi="Tahoma" w:cs="Tahoma"/>
          <w:b/>
          <w:snapToGrid w:val="0"/>
          <w:sz w:val="20"/>
        </w:rPr>
      </w:pPr>
      <w:r w:rsidRPr="00B944DA">
        <w:rPr>
          <w:rFonts w:ascii="Tahoma" w:hAnsi="Tahoma" w:cs="Tahoma"/>
          <w:b/>
          <w:snapToGrid w:val="0"/>
          <w:sz w:val="20"/>
        </w:rPr>
        <w:t>RESUELVE</w:t>
      </w:r>
    </w:p>
    <w:p w:rsidR="009319DF" w:rsidRDefault="009319DF" w:rsidP="009319DF">
      <w:pPr>
        <w:pStyle w:val="Textoindependiente2"/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6D2D40" w:rsidRPr="00B944DA" w:rsidRDefault="006D2D40" w:rsidP="009319DF">
      <w:pPr>
        <w:pStyle w:val="Textoindependiente2"/>
        <w:spacing w:after="0" w:line="240" w:lineRule="auto"/>
        <w:jc w:val="center"/>
        <w:rPr>
          <w:rFonts w:ascii="Tahoma" w:hAnsi="Tahoma" w:cs="Tahoma"/>
          <w:b/>
          <w:sz w:val="20"/>
        </w:rPr>
      </w:pPr>
    </w:p>
    <w:p w:rsidR="009319DF" w:rsidRPr="00B944DA" w:rsidRDefault="009319DF" w:rsidP="009319DF">
      <w:pPr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b/>
          <w:sz w:val="20"/>
        </w:rPr>
        <w:t xml:space="preserve">ARTICULO PRIMERO: </w:t>
      </w:r>
      <w:r w:rsidRPr="00B944DA">
        <w:rPr>
          <w:rFonts w:ascii="Tahoma" w:hAnsi="Tahoma" w:cs="Tahoma"/>
          <w:sz w:val="20"/>
        </w:rPr>
        <w:t>Ordenar la apertura de un procedimiento administrativo contractual para recibir propuestas y adjudicar el contrato</w:t>
      </w:r>
      <w:r>
        <w:rPr>
          <w:rFonts w:ascii="Tahoma" w:hAnsi="Tahoma" w:cs="Tahoma"/>
          <w:sz w:val="20"/>
        </w:rPr>
        <w:t xml:space="preserve"> de </w:t>
      </w:r>
      <w:r w:rsidRPr="00A31F5C">
        <w:rPr>
          <w:rFonts w:ascii="Tahoma" w:hAnsi="Tahoma" w:cs="Tahoma"/>
          <w:b/>
          <w:sz w:val="20"/>
        </w:rPr>
        <w:t>SUMINISTRO DE</w:t>
      </w:r>
      <w:r w:rsidRPr="00B944DA">
        <w:rPr>
          <w:rFonts w:ascii="Tahoma" w:hAnsi="Tahoma" w:cs="Tahoma"/>
          <w:sz w:val="20"/>
        </w:rPr>
        <w:t xml:space="preserve"> </w:t>
      </w:r>
      <w:r w:rsidRPr="00B944DA">
        <w:rPr>
          <w:rFonts w:ascii="Tahoma" w:hAnsi="Tahoma" w:cs="Tahoma"/>
          <w:b/>
          <w:sz w:val="20"/>
        </w:rPr>
        <w:t xml:space="preserve">QUINIENTOS VEINTIDÓS (522) PARES DE ZAPATOS CLASICOS Y SPORT PARA DAMA, Y OCHENTA Y NUEVE (89) PARES DE ZAPATOS PARA PERSONAL DE LABOR, </w:t>
      </w:r>
      <w:r w:rsidRPr="00B944DA">
        <w:rPr>
          <w:rFonts w:ascii="Tahoma" w:hAnsi="Tahoma" w:cs="Tahoma"/>
          <w:sz w:val="20"/>
        </w:rPr>
        <w:t xml:space="preserve">conforme a las cantidades y especificaciones técnicas </w:t>
      </w:r>
      <w:r>
        <w:rPr>
          <w:rFonts w:ascii="Tahoma" w:hAnsi="Tahoma" w:cs="Tahoma"/>
          <w:sz w:val="20"/>
        </w:rPr>
        <w:t>establecidas en</w:t>
      </w:r>
      <w:r w:rsidRPr="00B944DA">
        <w:rPr>
          <w:rFonts w:ascii="Tahoma" w:hAnsi="Tahoma" w:cs="Tahoma"/>
          <w:sz w:val="20"/>
        </w:rPr>
        <w:t xml:space="preserve"> la invitación a cotizar que se publicará en la página web, link contratación.</w:t>
      </w:r>
    </w:p>
    <w:p w:rsidR="009319DF" w:rsidRPr="00B944DA" w:rsidRDefault="009319DF" w:rsidP="009319DF">
      <w:pPr>
        <w:pStyle w:val="WW-Textosinformato"/>
        <w:jc w:val="both"/>
        <w:rPr>
          <w:rFonts w:ascii="Tahoma" w:hAnsi="Tahoma" w:cs="Tahoma"/>
        </w:rPr>
      </w:pPr>
    </w:p>
    <w:p w:rsidR="009F22BB" w:rsidRPr="00276F13" w:rsidRDefault="009319DF" w:rsidP="009F22BB">
      <w:pPr>
        <w:jc w:val="both"/>
        <w:rPr>
          <w:rFonts w:ascii="Tahoma" w:hAnsi="Tahoma" w:cs="Tahoma"/>
          <w:sz w:val="20"/>
        </w:rPr>
      </w:pPr>
      <w:r w:rsidRPr="00B944DA">
        <w:rPr>
          <w:rFonts w:ascii="Tahoma" w:hAnsi="Tahoma" w:cs="Tahoma"/>
          <w:b/>
          <w:bCs/>
          <w:sz w:val="20"/>
        </w:rPr>
        <w:t>ARTICULO SEGUNDO:</w:t>
      </w:r>
      <w:r w:rsidRPr="00B944DA">
        <w:rPr>
          <w:rFonts w:ascii="Tahoma" w:hAnsi="Tahoma" w:cs="Tahoma"/>
          <w:sz w:val="20"/>
        </w:rPr>
        <w:t xml:space="preserve"> </w:t>
      </w:r>
      <w:r w:rsidR="009F22BB" w:rsidRPr="00276F13">
        <w:rPr>
          <w:rFonts w:ascii="Tahoma" w:hAnsi="Tahoma" w:cs="Tahoma"/>
          <w:sz w:val="20"/>
        </w:rPr>
        <w:t xml:space="preserve">Comunicar la presente Resolución a la </w:t>
      </w:r>
      <w:proofErr w:type="spellStart"/>
      <w:r w:rsidR="009F22BB" w:rsidRPr="00276F13">
        <w:rPr>
          <w:rFonts w:ascii="Tahoma" w:hAnsi="Tahoma" w:cs="Tahoma"/>
          <w:sz w:val="20"/>
        </w:rPr>
        <w:t>Vicerrectoría</w:t>
      </w:r>
      <w:proofErr w:type="spellEnd"/>
      <w:r w:rsidR="009F22BB" w:rsidRPr="00276F13">
        <w:rPr>
          <w:rFonts w:ascii="Tahoma" w:hAnsi="Tahoma" w:cs="Tahoma"/>
          <w:sz w:val="20"/>
        </w:rPr>
        <w:t xml:space="preserve"> Administrativa, a la </w:t>
      </w:r>
      <w:r w:rsidR="009F22BB" w:rsidRPr="00276F13">
        <w:rPr>
          <w:rFonts w:ascii="Tahoma" w:hAnsi="Tahoma" w:cs="Tahoma"/>
          <w:bCs/>
          <w:snapToGrid w:val="0"/>
          <w:sz w:val="20"/>
        </w:rPr>
        <w:t xml:space="preserve">División Administrativa de Servicios de </w:t>
      </w:r>
      <w:smartTag w:uri="urn:schemas-microsoft-com:office:smarttags" w:element="PersonName">
        <w:smartTagPr>
          <w:attr w:name="ProductID" w:val="la Universidad"/>
        </w:smartTagPr>
        <w:r w:rsidR="009F22BB" w:rsidRPr="00276F13">
          <w:rPr>
            <w:rFonts w:ascii="Tahoma" w:hAnsi="Tahoma" w:cs="Tahoma"/>
            <w:bCs/>
            <w:snapToGrid w:val="0"/>
            <w:sz w:val="20"/>
          </w:rPr>
          <w:t>la Universidad</w:t>
        </w:r>
      </w:smartTag>
      <w:r w:rsidR="009F22BB" w:rsidRPr="00276F13">
        <w:rPr>
          <w:rFonts w:ascii="Tahoma" w:hAnsi="Tahoma" w:cs="Tahoma"/>
          <w:bCs/>
          <w:snapToGrid w:val="0"/>
          <w:sz w:val="20"/>
        </w:rPr>
        <w:t xml:space="preserve"> del Cauca</w:t>
      </w:r>
      <w:r w:rsidR="009F22BB" w:rsidRPr="00276F13">
        <w:rPr>
          <w:rFonts w:ascii="Tahoma" w:hAnsi="Tahoma" w:cs="Tahoma"/>
          <w:sz w:val="20"/>
        </w:rPr>
        <w:t>, a la Junta de Licitaciones y a la Oficina Jurídica.</w:t>
      </w:r>
    </w:p>
    <w:p w:rsidR="009319DF" w:rsidRPr="00B944DA" w:rsidRDefault="009319DF" w:rsidP="009319DF">
      <w:pPr>
        <w:pStyle w:val="Textoindependiente"/>
        <w:rPr>
          <w:rFonts w:ascii="Tahoma" w:hAnsi="Tahoma" w:cs="Tahoma"/>
          <w:sz w:val="20"/>
        </w:rPr>
      </w:pPr>
    </w:p>
    <w:p w:rsidR="009319DF" w:rsidRPr="00B944DA" w:rsidRDefault="009319DF" w:rsidP="009319DF">
      <w:pPr>
        <w:pStyle w:val="Textoindependiente"/>
        <w:rPr>
          <w:rFonts w:ascii="Tahoma" w:hAnsi="Tahoma" w:cs="Tahoma"/>
          <w:b/>
          <w:bCs/>
          <w:sz w:val="20"/>
        </w:rPr>
      </w:pPr>
      <w:r w:rsidRPr="00B944DA">
        <w:rPr>
          <w:rFonts w:ascii="Tahoma" w:hAnsi="Tahoma" w:cs="Tahoma"/>
          <w:b/>
          <w:bCs/>
          <w:sz w:val="20"/>
        </w:rPr>
        <w:t>COMUNÍQUESE, PUBLIQUESE Y CUMPLASE,</w:t>
      </w:r>
    </w:p>
    <w:p w:rsidR="009319DF" w:rsidRPr="00B944DA" w:rsidRDefault="009319DF" w:rsidP="009319DF">
      <w:pPr>
        <w:pStyle w:val="Textoindependiente"/>
        <w:jc w:val="center"/>
        <w:rPr>
          <w:rFonts w:ascii="Tahoma" w:hAnsi="Tahoma" w:cs="Tahoma"/>
          <w:b/>
          <w:sz w:val="20"/>
        </w:rPr>
      </w:pPr>
    </w:p>
    <w:p w:rsidR="009319DF" w:rsidRPr="00B944DA" w:rsidRDefault="009319DF" w:rsidP="009319DF">
      <w:pPr>
        <w:pStyle w:val="Textoindependiente"/>
        <w:tabs>
          <w:tab w:val="left" w:pos="3960"/>
        </w:tabs>
        <w:jc w:val="center"/>
        <w:rPr>
          <w:rFonts w:ascii="Tahoma" w:hAnsi="Tahoma" w:cs="Tahoma"/>
          <w:b/>
          <w:sz w:val="20"/>
        </w:rPr>
      </w:pPr>
    </w:p>
    <w:p w:rsidR="009319DF" w:rsidRPr="00B944DA" w:rsidRDefault="009319DF" w:rsidP="009319DF">
      <w:pPr>
        <w:pStyle w:val="Textoindependiente"/>
        <w:tabs>
          <w:tab w:val="left" w:pos="3960"/>
        </w:tabs>
        <w:jc w:val="center"/>
        <w:rPr>
          <w:rFonts w:ascii="Tahoma" w:hAnsi="Tahoma" w:cs="Tahoma"/>
          <w:b/>
          <w:sz w:val="20"/>
        </w:rPr>
      </w:pPr>
    </w:p>
    <w:p w:rsidR="009319DF" w:rsidRPr="00B944DA" w:rsidRDefault="009319DF" w:rsidP="009319DF">
      <w:pPr>
        <w:pStyle w:val="Textoindependiente"/>
        <w:jc w:val="center"/>
        <w:rPr>
          <w:rFonts w:ascii="Tahoma" w:hAnsi="Tahoma" w:cs="Tahoma"/>
          <w:b/>
          <w:sz w:val="20"/>
        </w:rPr>
      </w:pPr>
    </w:p>
    <w:p w:rsidR="009319DF" w:rsidRPr="00B944DA" w:rsidRDefault="009F22BB" w:rsidP="009319DF">
      <w:pPr>
        <w:pStyle w:val="Textoindependiente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ALVARO HURTADO T.</w:t>
      </w:r>
    </w:p>
    <w:p w:rsidR="00126428" w:rsidRPr="00B944DA" w:rsidRDefault="009F22BB" w:rsidP="00126428">
      <w:pPr>
        <w:pStyle w:val="Textoindependiente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Vicerrector Académico con Funciones Rectorales</w:t>
      </w:r>
    </w:p>
    <w:p w:rsidR="00087D07" w:rsidRPr="009F22BB" w:rsidRDefault="009F22BB" w:rsidP="00126428">
      <w:pPr>
        <w:pStyle w:val="Textoindependiente"/>
        <w:rPr>
          <w:sz w:val="10"/>
          <w:szCs w:val="10"/>
        </w:rPr>
      </w:pPr>
      <w:r w:rsidRPr="009F22BB">
        <w:rPr>
          <w:rFonts w:ascii="Tahoma" w:hAnsi="Tahoma" w:cs="Tahoma"/>
          <w:sz w:val="10"/>
          <w:szCs w:val="10"/>
        </w:rPr>
        <w:t>DCC/LFRM</w:t>
      </w:r>
    </w:p>
    <w:sectPr w:rsidR="00087D07" w:rsidRPr="009F22BB" w:rsidSect="00126428">
      <w:pgSz w:w="12240" w:h="20160" w:code="5"/>
      <w:pgMar w:top="2835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792"/>
    <w:multiLevelType w:val="hybridMultilevel"/>
    <w:tmpl w:val="BF8C017E"/>
    <w:lvl w:ilvl="0" w:tplc="8926D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</w:pPr>
    </w:lvl>
    <w:lvl w:ilvl="2" w:tplc="6D34D15E">
      <w:numFmt w:val="none"/>
      <w:lvlText w:val=""/>
      <w:lvlJc w:val="left"/>
      <w:pPr>
        <w:tabs>
          <w:tab w:val="num" w:pos="360"/>
        </w:tabs>
      </w:pPr>
    </w:lvl>
    <w:lvl w:ilvl="3" w:tplc="A4865920">
      <w:numFmt w:val="none"/>
      <w:lvlText w:val=""/>
      <w:lvlJc w:val="left"/>
      <w:pPr>
        <w:tabs>
          <w:tab w:val="num" w:pos="360"/>
        </w:tabs>
      </w:pPr>
    </w:lvl>
    <w:lvl w:ilvl="4" w:tplc="AAA40960">
      <w:numFmt w:val="none"/>
      <w:lvlText w:val=""/>
      <w:lvlJc w:val="left"/>
      <w:pPr>
        <w:tabs>
          <w:tab w:val="num" w:pos="360"/>
        </w:tabs>
      </w:pPr>
    </w:lvl>
    <w:lvl w:ilvl="5" w:tplc="03EAA894">
      <w:numFmt w:val="none"/>
      <w:lvlText w:val=""/>
      <w:lvlJc w:val="left"/>
      <w:pPr>
        <w:tabs>
          <w:tab w:val="num" w:pos="360"/>
        </w:tabs>
      </w:pPr>
    </w:lvl>
    <w:lvl w:ilvl="6" w:tplc="AF527EE8">
      <w:numFmt w:val="none"/>
      <w:lvlText w:val=""/>
      <w:lvlJc w:val="left"/>
      <w:pPr>
        <w:tabs>
          <w:tab w:val="num" w:pos="360"/>
        </w:tabs>
      </w:pPr>
    </w:lvl>
    <w:lvl w:ilvl="7" w:tplc="18EEDC6C">
      <w:numFmt w:val="none"/>
      <w:lvlText w:val=""/>
      <w:lvlJc w:val="left"/>
      <w:pPr>
        <w:tabs>
          <w:tab w:val="num" w:pos="360"/>
        </w:tabs>
      </w:pPr>
    </w:lvl>
    <w:lvl w:ilvl="8" w:tplc="D0527A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19DF"/>
    <w:rsid w:val="00087D07"/>
    <w:rsid w:val="00126428"/>
    <w:rsid w:val="002A617D"/>
    <w:rsid w:val="004B2C84"/>
    <w:rsid w:val="00620AB5"/>
    <w:rsid w:val="006D2D40"/>
    <w:rsid w:val="00782FA7"/>
    <w:rsid w:val="00793A0F"/>
    <w:rsid w:val="008342FF"/>
    <w:rsid w:val="009319DF"/>
    <w:rsid w:val="0098139D"/>
    <w:rsid w:val="009951FB"/>
    <w:rsid w:val="009F22BB"/>
    <w:rsid w:val="00C94A20"/>
    <w:rsid w:val="00CF2AC0"/>
    <w:rsid w:val="00D93086"/>
    <w:rsid w:val="00EE74C1"/>
    <w:rsid w:val="00FC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D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19DF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319D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9319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319D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9319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19DF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WW-Textosinformato">
    <w:name w:val="WW-Texto sin formato"/>
    <w:basedOn w:val="Normal"/>
    <w:rsid w:val="009319DF"/>
    <w:pPr>
      <w:suppressAutoHyphens/>
    </w:pPr>
    <w:rPr>
      <w:rFonts w:ascii="Courier New" w:hAnsi="Courier New"/>
      <w:sz w:val="20"/>
      <w:lang w:eastAsia="ar-SA"/>
    </w:rPr>
  </w:style>
  <w:style w:type="paragraph" w:customStyle="1" w:styleId="BodyText21">
    <w:name w:val="Body Text 21"/>
    <w:basedOn w:val="Normal"/>
    <w:rsid w:val="009319DF"/>
    <w:pPr>
      <w:suppressAutoHyphens/>
      <w:ind w:left="709"/>
      <w:jc w:val="both"/>
    </w:pPr>
    <w:rPr>
      <w:lang w:val="es-CO" w:eastAsia="ar-SA"/>
    </w:rPr>
  </w:style>
  <w:style w:type="paragraph" w:styleId="Prrafodelista">
    <w:name w:val="List Paragraph"/>
    <w:basedOn w:val="Normal"/>
    <w:uiPriority w:val="34"/>
    <w:qFormat/>
    <w:rsid w:val="0093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UNICAUCA.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3</cp:revision>
  <cp:lastPrinted>2010-11-12T21:44:00Z</cp:lastPrinted>
  <dcterms:created xsi:type="dcterms:W3CDTF">2010-11-23T15:04:00Z</dcterms:created>
  <dcterms:modified xsi:type="dcterms:W3CDTF">2010-11-23T15:08:00Z</dcterms:modified>
</cp:coreProperties>
</file>